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392D80" w:rsidP="000D1AC7">
      <w:pPr>
        <w:ind w:firstLine="709"/>
        <w:jc w:val="center"/>
        <w:rPr>
          <w:rFonts w:ascii="Times New Roman" w:hAnsi="Times New Roman"/>
          <w:sz w:val="28"/>
          <w:szCs w:val="28"/>
        </w:rPr>
      </w:pPr>
      <w:r>
        <w:rPr>
          <w:rFonts w:ascii="Times New Roman" w:hAnsi="Times New Roman"/>
          <w:sz w:val="28"/>
          <w:szCs w:val="28"/>
        </w:rPr>
        <w:t>ПОСЕВКИНСКОЕ</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 xml:space="preserve">с. </w:t>
      </w:r>
      <w:proofErr w:type="spellStart"/>
      <w:r w:rsidR="00392D80">
        <w:rPr>
          <w:rFonts w:ascii="Times New Roman" w:hAnsi="Times New Roman"/>
          <w:sz w:val="28"/>
          <w:szCs w:val="28"/>
        </w:rPr>
        <w:t>Посевкино</w:t>
      </w:r>
      <w:proofErr w:type="spellEnd"/>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392D80">
        <w:rPr>
          <w:rFonts w:ascii="Times New Roman" w:hAnsi="Times New Roman" w:cs="Times New Roman"/>
          <w:b w:val="0"/>
          <w:bCs w:val="0"/>
          <w:kern w:val="0"/>
          <w:sz w:val="28"/>
          <w:szCs w:val="28"/>
        </w:rPr>
        <w:t>Посевкинского</w:t>
      </w:r>
      <w:bookmarkStart w:id="0" w:name="_GoBack"/>
      <w:bookmarkEnd w:id="0"/>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w:t>
      </w:r>
      <w:proofErr w:type="gramEnd"/>
      <w:r w:rsidRPr="000D1AC7">
        <w:rPr>
          <w:rFonts w:ascii="Times New Roman" w:hAnsi="Times New Roman"/>
          <w:sz w:val="28"/>
          <w:szCs w:val="28"/>
        </w:rPr>
        <w:t xml:space="preserve">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09A6"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w:t>
      </w:r>
      <w:proofErr w:type="gramStart"/>
      <w:r w:rsidR="00A709A6" w:rsidRPr="000D1AC7">
        <w:rPr>
          <w:rFonts w:ascii="Times New Roman" w:hAnsi="Times New Roman"/>
          <w:sz w:val="28"/>
          <w:szCs w:val="28"/>
        </w:rPr>
        <w:t>л</w:t>
      </w:r>
      <w:proofErr w:type="gramEnd"/>
      <w:r w:rsidR="00A709A6" w:rsidRPr="000D1AC7">
        <w:rPr>
          <w:rFonts w:ascii="Times New Roman" w:hAnsi="Times New Roman"/>
          <w:sz w:val="28"/>
          <w:szCs w:val="28"/>
        </w:rPr>
        <w:t xml:space="preserve">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A709A6"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E325FD"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71FC9" w:rsidRPr="005F4D63">
        <w:rPr>
          <w:rFonts w:ascii="Times New Roman" w:hAnsi="Times New Roman"/>
          <w:sz w:val="28"/>
          <w:szCs w:val="28"/>
        </w:rPr>
        <w:t xml:space="preserve">«__»______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A71FC9" w:rsidRPr="005F4D63">
        <w:rPr>
          <w:rFonts w:ascii="Times New Roman" w:hAnsi="Times New Roman"/>
          <w:sz w:val="28"/>
          <w:szCs w:val="28"/>
        </w:rPr>
        <w:t>___</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5F4D63">
        <w:rPr>
          <w:rFonts w:ascii="Times New Roman" w:eastAsia="SimSun" w:hAnsi="Times New Roman"/>
          <w:bCs/>
          <w:kern w:val="28"/>
          <w:sz w:val="28"/>
          <w:szCs w:val="28"/>
          <w:lang w:eastAsia="hi-IN" w:bidi="hi-IN"/>
        </w:rPr>
        <w:t>__________</w:t>
      </w:r>
      <w:r w:rsidR="005F4D63" w:rsidRPr="005F4D63">
        <w:rPr>
          <w:rFonts w:ascii="Times New Roman" w:eastAsia="SimSun" w:hAnsi="Times New Roman"/>
          <w:bCs/>
          <w:kern w:val="28"/>
          <w:sz w:val="28"/>
          <w:szCs w:val="28"/>
          <w:lang w:eastAsia="hi-IN" w:bidi="hi-IN"/>
        </w:rPr>
        <w:t xml:space="preserve"> сельского </w:t>
      </w:r>
      <w:r w:rsidR="005F4D63" w:rsidRPr="005F4D63">
        <w:rPr>
          <w:rFonts w:ascii="Times New Roman" w:eastAsia="SimSun" w:hAnsi="Times New Roman"/>
          <w:bCs/>
          <w:kern w:val="28"/>
          <w:sz w:val="28"/>
          <w:szCs w:val="28"/>
          <w:lang w:eastAsia="hi-IN" w:bidi="hi-IN"/>
        </w:rPr>
        <w:lastRenderedPageBreak/>
        <w:t>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0D1AC7">
            <w:pPr>
              <w:ind w:firstLine="709"/>
              <w:rPr>
                <w:rFonts w:ascii="Times New Roman" w:hAnsi="Times New Roman"/>
                <w:sz w:val="28"/>
                <w:szCs w:val="28"/>
              </w:rPr>
            </w:pPr>
            <w:r>
              <w:rPr>
                <w:rFonts w:ascii="Times New Roman" w:hAnsi="Times New Roman"/>
                <w:sz w:val="28"/>
                <w:szCs w:val="28"/>
              </w:rPr>
              <w:t xml:space="preserve"> </w:t>
            </w:r>
            <w:r w:rsidR="00782664" w:rsidRPr="000D1AC7">
              <w:rPr>
                <w:rFonts w:ascii="Times New Roman" w:hAnsi="Times New Roman"/>
                <w:sz w:val="28"/>
                <w:szCs w:val="28"/>
              </w:rPr>
              <w:t>____________ (ФИО)</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eastAsia="Arial Unicode MS" w:hAnsi="Times New Roman"/>
          <w:sz w:val="28"/>
          <w:szCs w:val="28"/>
          <w:lang w:bidi="ru-RU"/>
        </w:rPr>
        <w:t xml:space="preserve">____________ </w:t>
      </w:r>
      <w:r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A709A6" w:rsidRPr="000D1AC7">
        <w:rPr>
          <w:i w:val="0"/>
          <w:sz w:val="28"/>
          <w:szCs w:val="28"/>
        </w:rPr>
        <w:t>_______________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lastRenderedPageBreak/>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382241"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6972B1" w:rsidRPr="000D1AC7">
        <w:rPr>
          <w:rFonts w:ascii="Times New Roman" w:hAnsi="Times New Roman"/>
          <w:sz w:val="28"/>
          <w:szCs w:val="28"/>
        </w:rPr>
        <w:t>______________</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proofErr w:type="gramEnd"/>
      <w:r w:rsidR="00637197" w:rsidRPr="000D1AC7">
        <w:rPr>
          <w:rFonts w:ascii="Times New Roman" w:hAnsi="Times New Roman"/>
          <w:sz w:val="28"/>
          <w:szCs w:val="28"/>
        </w:rPr>
        <w:t>.</w:t>
      </w:r>
      <w:proofErr w:type="spellStart"/>
      <w:proofErr w:type="gramStart"/>
      <w:r w:rsidR="00637197" w:rsidRPr="000D1AC7">
        <w:rPr>
          <w:rFonts w:ascii="Times New Roman" w:hAnsi="Times New Roman"/>
          <w:sz w:val="28"/>
          <w:szCs w:val="28"/>
          <w:lang w:val="en-US"/>
        </w:rPr>
        <w:t>ru</w:t>
      </w:r>
      <w:proofErr w:type="spellEnd"/>
      <w:proofErr w:type="gram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D1AC7">
        <w:rPr>
          <w:rFonts w:ascii="Times New Roman" w:hAnsi="Times New Roman"/>
          <w:sz w:val="28"/>
          <w:szCs w:val="28"/>
        </w:rPr>
        <w:lastRenderedPageBreak/>
        <w:t>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003258EF" w:rsidRPr="000D1AC7">
        <w:rPr>
          <w:rFonts w:ascii="Times New Roman" w:eastAsiaTheme="minorHAnsi" w:hAnsi="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Pr="000D1AC7">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lastRenderedPageBreak/>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382241" w:rsidRPr="000D1AC7">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382241"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lastRenderedPageBreak/>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382241"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Pr="000D1AC7">
        <w:rPr>
          <w:rFonts w:ascii="Times New Roman" w:hAnsi="Times New Roman"/>
          <w:sz w:val="28"/>
          <w:szCs w:val="28"/>
        </w:rPr>
        <w:t xml:space="preserve">____________ </w:t>
      </w:r>
      <w:r w:rsidR="00986EA8"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http://______________.</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07452D" w:rsidRPr="000D1AC7">
        <w:rPr>
          <w:rFonts w:ascii="Times New Roman" w:hAnsi="Times New Roman"/>
          <w:sz w:val="28"/>
          <w:szCs w:val="28"/>
        </w:rPr>
        <w:lastRenderedPageBreak/>
        <w:t>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w:t>
      </w:r>
      <w:proofErr w:type="gramStart"/>
      <w:r w:rsidRPr="000D1AC7">
        <w:rPr>
          <w:rFonts w:ascii="Times New Roman" w:hAnsi="Times New Roman"/>
          <w:sz w:val="28"/>
          <w:szCs w:val="28"/>
        </w:rPr>
        <w:t>последствий</w:t>
      </w:r>
      <w:proofErr w:type="gramEnd"/>
      <w:r w:rsidRPr="000D1AC7">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w:t>
      </w:r>
      <w:r w:rsidRPr="000D1AC7">
        <w:rPr>
          <w:rFonts w:ascii="Times New Roman" w:hAnsi="Times New Roman"/>
          <w:sz w:val="28"/>
          <w:szCs w:val="28"/>
        </w:rPr>
        <w:lastRenderedPageBreak/>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9B2FF0" w:rsidRPr="000D1AC7">
        <w:rPr>
          <w:rFonts w:ascii="Times New Roman" w:hAnsi="Times New Roman"/>
          <w:sz w:val="28"/>
          <w:szCs w:val="28"/>
        </w:rPr>
        <w:t>________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lastRenderedPageBreak/>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0D1AC7">
        <w:rPr>
          <w:rFonts w:ascii="Times New Roman" w:hAnsi="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lastRenderedPageBreak/>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w:t>
      </w:r>
      <w:r w:rsidRPr="000D1AC7">
        <w:rPr>
          <w:rFonts w:ascii="Times New Roman" w:hAnsi="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xml:space="preserve">. Сообщение о получении заявления и документов, указанных в пункте 9 настоящего Административного регламента, направляется по </w:t>
      </w:r>
      <w:r w:rsidRPr="000D1AC7">
        <w:rPr>
          <w:rFonts w:ascii="Times New Roman" w:hAnsi="Times New Roman"/>
          <w:sz w:val="28"/>
          <w:szCs w:val="28"/>
        </w:rPr>
        <w:lastRenderedPageBreak/>
        <w:t>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Pr="000D1AC7">
        <w:rPr>
          <w:rFonts w:ascii="Times New Roman" w:hAnsi="Times New Roman"/>
          <w:sz w:val="28"/>
          <w:szCs w:val="28"/>
        </w:rPr>
        <w:t>____________</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w:t>
      </w:r>
      <w:r w:rsidRPr="000D1AC7">
        <w:rPr>
          <w:rFonts w:ascii="Times New Roman" w:hAnsi="Times New Roman" w:cs="Times New Roman"/>
          <w:sz w:val="28"/>
          <w:szCs w:val="28"/>
        </w:rPr>
        <w:lastRenderedPageBreak/>
        <w:t>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lastRenderedPageBreak/>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lastRenderedPageBreak/>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D1AC7">
        <w:rPr>
          <w:rFonts w:ascii="Times New Roman" w:hAnsi="Times New Roman"/>
          <w:sz w:val="28"/>
          <w:szCs w:val="28"/>
        </w:rPr>
        <w:lastRenderedPageBreak/>
        <w:t xml:space="preserve">актов Воронежской области и нормативных правовых актов ____________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D1AC7" w:rsidRPr="000D1AC7">
        <w:rPr>
          <w:sz w:val="28"/>
          <w:szCs w:val="28"/>
        </w:rPr>
        <w:t xml:space="preserve">____________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w:t>
      </w:r>
      <w:r w:rsidRPr="000D1AC7">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1AC7">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0D1AC7">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AC7">
        <w:rPr>
          <w:rFonts w:ascii="Times New Roman" w:hAnsi="Times New Roman"/>
          <w:sz w:val="28"/>
          <w:szCs w:val="28"/>
        </w:rPr>
        <w:t>неудобства</w:t>
      </w:r>
      <w:proofErr w:type="gramEnd"/>
      <w:r w:rsidRPr="000D1A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w:t>
            </w:r>
            <w:r w:rsidRPr="000D1AC7">
              <w:rPr>
                <w:rFonts w:ascii="Times New Roman" w:hAnsi="Times New Roman"/>
                <w:sz w:val="28"/>
                <w:szCs w:val="28"/>
              </w:rPr>
              <w:lastRenderedPageBreak/>
              <w:t xml:space="preserve">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В соответствии с требованиями Федерального закона от 27.07.2006 N 152-ФЗ "О персональных данных" даю согласие на сбор, систематизацию, накопление, </w:t>
            </w:r>
            <w:r w:rsidRPr="000D1AC7">
              <w:rPr>
                <w:rFonts w:ascii="Times New Roman" w:eastAsiaTheme="minorHAnsi" w:hAnsi="Times New Roman"/>
                <w:sz w:val="28"/>
                <w:szCs w:val="28"/>
                <w:lang w:eastAsia="en-US"/>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lastRenderedPageBreak/>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Вы вправе повторно обратиться в орган, уполномоченный на </w:t>
      </w:r>
      <w:r w:rsidRPr="000D1AC7">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w:t>
            </w:r>
            <w:r w:rsidRPr="000D1AC7">
              <w:rPr>
                <w:rFonts w:ascii="Times New Roman" w:hAnsi="Times New Roman" w:cs="Times New Roman"/>
                <w:sz w:val="28"/>
                <w:szCs w:val="28"/>
              </w:rPr>
              <w:lastRenderedPageBreak/>
              <w:t>обследования, направление 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Выезд на место проведения работ для </w:t>
            </w:r>
            <w:r w:rsidRPr="000D1AC7">
              <w:rPr>
                <w:rFonts w:ascii="Times New Roman" w:hAnsi="Times New Roman" w:cs="Times New Roman"/>
                <w:sz w:val="28"/>
                <w:szCs w:val="28"/>
              </w:rPr>
              <w:lastRenderedPageBreak/>
              <w:t>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акта 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Формирование отказа </w:t>
            </w:r>
            <w:r w:rsidRPr="000D1AC7">
              <w:rPr>
                <w:rFonts w:ascii="Times New Roman" w:hAnsi="Times New Roman" w:cs="Times New Roman"/>
                <w:sz w:val="28"/>
                <w:szCs w:val="28"/>
              </w:rPr>
              <w:lastRenderedPageBreak/>
              <w:t>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на 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lastRenderedPageBreak/>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D1AC7">
      <w:headerReference w:type="default" r:id="rId9"/>
      <w:footerReference w:type="defaul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30" w:rsidRDefault="00CA5230" w:rsidP="009476CE">
      <w:r>
        <w:separator/>
      </w:r>
    </w:p>
  </w:endnote>
  <w:endnote w:type="continuationSeparator" w:id="0">
    <w:p w:rsidR="00CA5230" w:rsidRDefault="00CA523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392D80">
          <w:rPr>
            <w:noProof/>
          </w:rPr>
          <w:t>2</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392D80">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30" w:rsidRDefault="00CA5230" w:rsidP="009476CE">
      <w:r>
        <w:separator/>
      </w:r>
    </w:p>
  </w:footnote>
  <w:footnote w:type="continuationSeparator" w:id="0">
    <w:p w:rsidR="00CA5230" w:rsidRDefault="00CA523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392D80">
          <w:rPr>
            <w:noProof/>
          </w:rPr>
          <w:t>2</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2D80"/>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5230"/>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AFF7-A490-489D-BD7C-867EEC8F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16889</Words>
  <Characters>96273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Irina</cp:lastModifiedBy>
  <cp:revision>23</cp:revision>
  <cp:lastPrinted>2023-06-18T09:43:00Z</cp:lastPrinted>
  <dcterms:created xsi:type="dcterms:W3CDTF">2023-07-24T15:02:00Z</dcterms:created>
  <dcterms:modified xsi:type="dcterms:W3CDTF">2023-08-24T10:54:00Z</dcterms:modified>
</cp:coreProperties>
</file>